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D9E4" w14:textId="4CCE693C"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Xorox阿昔洛韦眼膏说明书</w:t>
      </w:r>
    </w:p>
    <w:p w14:paraId="25A7F5F8" w14:textId="77777777" w:rsidR="00A95AE6" w:rsidRPr="00A95AE6" w:rsidRDefault="00A95AE6" w:rsidP="008E32C1">
      <w:pPr>
        <w:spacing w:line="240" w:lineRule="auto"/>
        <w:rPr>
          <w:rFonts w:ascii="SimSun" w:eastAsia="SimSun" w:hAnsi="SimSun" w:cs="Times New Roman"/>
        </w:rPr>
      </w:pPr>
    </w:p>
    <w:p w14:paraId="58E0A2FC" w14:textId="3B5C35ED"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1      药品名称</w:t>
      </w:r>
      <w:r w:rsidR="008E32C1">
        <w:rPr>
          <w:rFonts w:ascii="SimSun" w:eastAsia="SimSun" w:hAnsi="SimSun" w:cs="Times New Roman" w:hint="eastAsia"/>
        </w:rPr>
        <w:t>：</w:t>
      </w:r>
      <w:r w:rsidRPr="00A95AE6">
        <w:rPr>
          <w:rFonts w:ascii="SimSun" w:eastAsia="SimSun" w:hAnsi="SimSun" w:cs="Times New Roman"/>
        </w:rPr>
        <w:t>Xorox阿昔洛韦眼膏 30 mg/g</w:t>
      </w:r>
    </w:p>
    <w:p w14:paraId="3CD986F9" w14:textId="77777777" w:rsidR="00A95AE6" w:rsidRPr="00A95AE6" w:rsidRDefault="00A95AE6" w:rsidP="008E32C1">
      <w:pPr>
        <w:spacing w:line="240" w:lineRule="auto"/>
        <w:rPr>
          <w:rFonts w:ascii="SimSun" w:eastAsia="SimSun" w:hAnsi="SimSun" w:cs="Times New Roman"/>
        </w:rPr>
      </w:pPr>
    </w:p>
    <w:p w14:paraId="244C12B6" w14:textId="5ADFC45F"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2 </w:t>
      </w:r>
      <w:r w:rsidRPr="00A95AE6">
        <w:rPr>
          <w:rFonts w:ascii="SimSun" w:eastAsia="SimSun" w:hAnsi="SimSun" w:cs="Times New Roman"/>
        </w:rPr>
        <w:tab/>
        <w:t>定性及定量成分</w:t>
      </w:r>
      <w:r w:rsidR="008E32C1">
        <w:rPr>
          <w:rFonts w:ascii="SimSun" w:eastAsia="SimSun" w:hAnsi="SimSun" w:cs="Times New Roman" w:hint="eastAsia"/>
        </w:rPr>
        <w:t>：</w:t>
      </w:r>
      <w:r w:rsidRPr="00A95AE6">
        <w:rPr>
          <w:rFonts w:ascii="SimSun" w:eastAsia="SimSun" w:hAnsi="SimSun" w:cs="Times New Roman"/>
        </w:rPr>
        <w:t>1克眼膏含30毫克阿昔洛韦</w:t>
      </w:r>
      <w:r w:rsidRPr="00A95AE6">
        <w:rPr>
          <w:rFonts w:ascii="SimSun" w:eastAsia="SimSun" w:hAnsi="SimSun" w:cs="Times New Roman" w:hint="eastAsia"/>
        </w:rPr>
        <w:t>；</w:t>
      </w:r>
      <w:r w:rsidRPr="00A95AE6">
        <w:rPr>
          <w:rFonts w:ascii="SimSun" w:eastAsia="SimSun" w:hAnsi="SimSun" w:cs="Times New Roman"/>
        </w:rPr>
        <w:t>辅料见6.1节</w:t>
      </w:r>
    </w:p>
    <w:p w14:paraId="1BBB15A0" w14:textId="77777777" w:rsidR="00A95AE6" w:rsidRPr="00A95AE6" w:rsidRDefault="00A95AE6" w:rsidP="008E32C1">
      <w:pPr>
        <w:spacing w:line="240" w:lineRule="auto"/>
        <w:rPr>
          <w:rFonts w:ascii="SimSun" w:eastAsia="SimSun" w:hAnsi="SimSun" w:cs="Times New Roman"/>
        </w:rPr>
      </w:pPr>
    </w:p>
    <w:p w14:paraId="6E2AAC0C" w14:textId="44C4F768"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3 </w:t>
      </w:r>
      <w:r w:rsidRPr="00A95AE6">
        <w:rPr>
          <w:rFonts w:ascii="SimSun" w:eastAsia="SimSun" w:hAnsi="SimSun" w:cs="Times New Roman"/>
        </w:rPr>
        <w:tab/>
        <w:t>剂型</w:t>
      </w:r>
      <w:r w:rsidR="008E32C1">
        <w:rPr>
          <w:rFonts w:ascii="SimSun" w:eastAsia="SimSun" w:hAnsi="SimSun" w:cs="Times New Roman" w:hint="eastAsia"/>
        </w:rPr>
        <w:t>：</w:t>
      </w:r>
      <w:r w:rsidRPr="00A95AE6">
        <w:rPr>
          <w:rFonts w:ascii="SimSun" w:eastAsia="SimSun" w:hAnsi="SimSun" w:cs="Times New Roman"/>
        </w:rPr>
        <w:t>白色至灰白色均质眼膏</w:t>
      </w:r>
    </w:p>
    <w:p w14:paraId="76172C76" w14:textId="77777777" w:rsidR="00A95AE6" w:rsidRPr="00A95AE6" w:rsidRDefault="00A95AE6" w:rsidP="008E32C1">
      <w:pPr>
        <w:spacing w:line="240" w:lineRule="auto"/>
        <w:rPr>
          <w:rFonts w:ascii="SimSun" w:eastAsia="SimSun" w:hAnsi="SimSun" w:cs="Times New Roman"/>
        </w:rPr>
      </w:pPr>
    </w:p>
    <w:p w14:paraId="28F9B904" w14:textId="084C86D0" w:rsid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4 </w:t>
      </w:r>
      <w:r w:rsidRPr="00A95AE6">
        <w:rPr>
          <w:rFonts w:ascii="SimSun" w:eastAsia="SimSun" w:hAnsi="SimSun" w:cs="Times New Roman"/>
        </w:rPr>
        <w:tab/>
        <w:t>临床资料</w:t>
      </w:r>
    </w:p>
    <w:p w14:paraId="7ADC7E46" w14:textId="77777777" w:rsidR="008E32C1" w:rsidRPr="00A95AE6" w:rsidRDefault="008E32C1" w:rsidP="008E32C1">
      <w:pPr>
        <w:spacing w:line="240" w:lineRule="auto"/>
        <w:rPr>
          <w:rFonts w:ascii="SimSun" w:eastAsia="SimSun" w:hAnsi="SimSun" w:cs="Times New Roman"/>
        </w:rPr>
      </w:pPr>
    </w:p>
    <w:p w14:paraId="0FDA9A80" w14:textId="052D461B" w:rsid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4.1 </w:t>
      </w:r>
      <w:r w:rsidRPr="00A95AE6">
        <w:rPr>
          <w:rFonts w:ascii="SimSun" w:eastAsia="SimSun" w:hAnsi="SimSun" w:cs="Times New Roman"/>
        </w:rPr>
        <w:tab/>
        <w:t>适应症</w:t>
      </w:r>
      <w:r>
        <w:rPr>
          <w:rFonts w:ascii="SimSun" w:eastAsia="SimSun" w:hAnsi="SimSun" w:cs="Times New Roman" w:hint="eastAsia"/>
        </w:rPr>
        <w:t>：</w:t>
      </w:r>
      <w:r w:rsidRPr="00A95AE6">
        <w:rPr>
          <w:rFonts w:ascii="SimSun" w:eastAsia="SimSun" w:hAnsi="SimSun" w:cs="Times New Roman"/>
        </w:rPr>
        <w:t>阿昔洛韦眼膏 30 mg/g适用于治疗单纯疱疹性角膜炎</w:t>
      </w:r>
    </w:p>
    <w:p w14:paraId="31662F57" w14:textId="77777777" w:rsidR="008E32C1" w:rsidRPr="00A95AE6" w:rsidRDefault="008E32C1" w:rsidP="008E32C1">
      <w:pPr>
        <w:spacing w:line="240" w:lineRule="auto"/>
        <w:rPr>
          <w:rFonts w:ascii="SimSun" w:eastAsia="SimSun" w:hAnsi="SimSun" w:cs="Times New Roman"/>
        </w:rPr>
      </w:pPr>
    </w:p>
    <w:p w14:paraId="03A5B5C2" w14:textId="13F9223F"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4.2 </w:t>
      </w:r>
      <w:r w:rsidRPr="00A95AE6">
        <w:rPr>
          <w:rFonts w:ascii="SimSun" w:eastAsia="SimSun" w:hAnsi="SimSun" w:cs="Times New Roman"/>
        </w:rPr>
        <w:tab/>
        <w:t>用法和给药方法</w:t>
      </w:r>
    </w:p>
    <w:p w14:paraId="15278143" w14:textId="3513EE07" w:rsidR="00A95AE6" w:rsidRPr="008E32C1" w:rsidRDefault="00A95AE6" w:rsidP="008E32C1">
      <w:pPr>
        <w:spacing w:line="240" w:lineRule="auto"/>
        <w:rPr>
          <w:rFonts w:ascii="SimSun" w:eastAsia="SimSun" w:hAnsi="SimSun" w:cs="Times New Roman"/>
          <w:u w:val="single"/>
        </w:rPr>
      </w:pPr>
      <w:r w:rsidRPr="00A95AE6">
        <w:rPr>
          <w:rFonts w:ascii="SimSun" w:eastAsia="SimSun" w:hAnsi="SimSun" w:cs="Times New Roman"/>
        </w:rPr>
        <w:t>成人</w:t>
      </w:r>
      <w:r w:rsidRPr="00A95AE6">
        <w:rPr>
          <w:rFonts w:ascii="SimSun" w:eastAsia="SimSun" w:hAnsi="SimSun" w:cs="Times New Roman" w:hint="eastAsia"/>
        </w:rPr>
        <w:t>：</w:t>
      </w:r>
      <w:r w:rsidRPr="00A95AE6">
        <w:rPr>
          <w:rFonts w:ascii="SimSun" w:eastAsia="SimSun" w:hAnsi="SimSun" w:cs="Times New Roman"/>
        </w:rPr>
        <w:t>除非另有规定，否则应将1厘米长的软膏点在下结膜囊内，每天5次（每隔4小时一次）。愈合后应至少继续治疗3天。</w:t>
      </w:r>
    </w:p>
    <w:p w14:paraId="12C920FE" w14:textId="589F5C3B"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儿童使用</w:t>
      </w:r>
      <w:r w:rsidRPr="00A95AE6">
        <w:rPr>
          <w:rFonts w:ascii="SimSun" w:eastAsia="SimSun" w:hAnsi="SimSun" w:cs="Times New Roman" w:hint="eastAsia"/>
        </w:rPr>
        <w:t>：</w:t>
      </w:r>
      <w:r w:rsidRPr="00A95AE6">
        <w:rPr>
          <w:rFonts w:ascii="SimSun" w:eastAsia="SimSun" w:hAnsi="SimSun" w:cs="Times New Roman"/>
        </w:rPr>
        <w:t>与成人一致</w:t>
      </w:r>
    </w:p>
    <w:p w14:paraId="74211EA6" w14:textId="74A22D87"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老年人（≥65岁）</w:t>
      </w:r>
      <w:r w:rsidRPr="00A95AE6">
        <w:rPr>
          <w:rFonts w:ascii="SimSun" w:eastAsia="SimSun" w:hAnsi="SimSun" w:cs="Times New Roman" w:hint="eastAsia"/>
        </w:rPr>
        <w:t>：</w:t>
      </w:r>
      <w:r w:rsidRPr="00A95AE6">
        <w:rPr>
          <w:rFonts w:ascii="SimSun" w:eastAsia="SimSun" w:hAnsi="SimSun" w:cs="Times New Roman"/>
        </w:rPr>
        <w:t>不需要调整剂量</w:t>
      </w:r>
    </w:p>
    <w:p w14:paraId="63554DC9" w14:textId="24E1CAC9"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肾脏和肝脏功能受损的人</w:t>
      </w:r>
      <w:r w:rsidRPr="00A95AE6">
        <w:rPr>
          <w:rFonts w:ascii="SimSun" w:eastAsia="SimSun" w:hAnsi="SimSun" w:cs="Times New Roman" w:hint="eastAsia"/>
        </w:rPr>
        <w:t>：</w:t>
      </w:r>
      <w:r w:rsidRPr="00A95AE6">
        <w:rPr>
          <w:rFonts w:ascii="SimSun" w:eastAsia="SimSun" w:hAnsi="SimSun" w:cs="Times New Roman"/>
        </w:rPr>
        <w:t>不需要调整剂量</w:t>
      </w:r>
    </w:p>
    <w:p w14:paraId="386D7127" w14:textId="3832F4CC" w:rsidR="00A95AE6" w:rsidRDefault="00A95AE6" w:rsidP="008E32C1">
      <w:pPr>
        <w:spacing w:line="240" w:lineRule="auto"/>
        <w:rPr>
          <w:rFonts w:ascii="SimSun" w:eastAsia="SimSun" w:hAnsi="SimSun" w:cs="Times New Roman"/>
        </w:rPr>
      </w:pPr>
      <w:r w:rsidRPr="00A95AE6">
        <w:rPr>
          <w:rFonts w:ascii="SimSun" w:eastAsia="SimSun" w:hAnsi="SimSun" w:cs="Times New Roman"/>
        </w:rPr>
        <w:t>给药方法</w:t>
      </w:r>
      <w:r w:rsidRPr="00A95AE6">
        <w:rPr>
          <w:rFonts w:ascii="SimSun" w:eastAsia="SimSun" w:hAnsi="SimSun" w:cs="Times New Roman" w:hint="eastAsia"/>
        </w:rPr>
        <w:t>：</w:t>
      </w:r>
      <w:r w:rsidRPr="00A95AE6">
        <w:rPr>
          <w:rFonts w:ascii="SimSun" w:eastAsia="SimSun" w:hAnsi="SimSun" w:cs="Times New Roman"/>
        </w:rPr>
        <w:t>眼部使用</w:t>
      </w:r>
    </w:p>
    <w:p w14:paraId="15E607EF" w14:textId="77777777" w:rsidR="008E32C1" w:rsidRPr="00A95AE6" w:rsidRDefault="008E32C1" w:rsidP="008E32C1">
      <w:pPr>
        <w:spacing w:line="240" w:lineRule="auto"/>
        <w:rPr>
          <w:rFonts w:ascii="SimSun" w:eastAsia="SimSun" w:hAnsi="SimSun" w:cs="Times New Roman"/>
        </w:rPr>
      </w:pPr>
    </w:p>
    <w:p w14:paraId="218E670D" w14:textId="7283F78E"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4.3 </w:t>
      </w:r>
      <w:r w:rsidRPr="00A95AE6">
        <w:rPr>
          <w:rFonts w:ascii="SimSun" w:eastAsia="SimSun" w:hAnsi="SimSun" w:cs="Times New Roman"/>
        </w:rPr>
        <w:tab/>
        <w:t xml:space="preserve">禁忌症 </w:t>
      </w:r>
    </w:p>
    <w:p w14:paraId="6F1415FE" w14:textId="34E73F6B"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 对活性成分或第6.1节所列的任何赋形剂过敏</w:t>
      </w:r>
    </w:p>
    <w:p w14:paraId="64F8DD26" w14:textId="2678BBE5" w:rsidR="00A95AE6" w:rsidRDefault="00A95AE6" w:rsidP="008E32C1">
      <w:pPr>
        <w:spacing w:line="240" w:lineRule="auto"/>
        <w:rPr>
          <w:rFonts w:ascii="SimSun" w:eastAsia="SimSun" w:hAnsi="SimSun" w:cs="Times New Roman"/>
        </w:rPr>
      </w:pPr>
      <w:r w:rsidRPr="00A95AE6">
        <w:rPr>
          <w:rFonts w:ascii="SimSun" w:eastAsia="SimSun" w:hAnsi="SimSun" w:cs="Times New Roman"/>
        </w:rPr>
        <w:t>- 对伐昔洛韦过感</w:t>
      </w:r>
    </w:p>
    <w:p w14:paraId="6F1C375D" w14:textId="77777777" w:rsidR="008E32C1" w:rsidRPr="00A95AE6" w:rsidRDefault="008E32C1" w:rsidP="008E32C1">
      <w:pPr>
        <w:spacing w:line="240" w:lineRule="auto"/>
        <w:rPr>
          <w:rFonts w:ascii="SimSun" w:eastAsia="SimSun" w:hAnsi="SimSun" w:cs="Times New Roman"/>
        </w:rPr>
      </w:pPr>
    </w:p>
    <w:p w14:paraId="42F02E12" w14:textId="77777777"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4.4 </w:t>
      </w:r>
      <w:r w:rsidRPr="00A95AE6">
        <w:rPr>
          <w:rFonts w:ascii="SimSun" w:eastAsia="SimSun" w:hAnsi="SimSun" w:cs="Times New Roman"/>
        </w:rPr>
        <w:tab/>
        <w:t xml:space="preserve">特别警告和使用注意事项 </w:t>
      </w:r>
    </w:p>
    <w:p w14:paraId="6F47699A" w14:textId="5760F718" w:rsidR="00A95AE6" w:rsidRPr="008E32C1" w:rsidRDefault="00A95AE6" w:rsidP="008E32C1">
      <w:pPr>
        <w:pStyle w:val="a3"/>
        <w:numPr>
          <w:ilvl w:val="0"/>
          <w:numId w:val="1"/>
        </w:numPr>
        <w:spacing w:line="240" w:lineRule="auto"/>
        <w:rPr>
          <w:rFonts w:ascii="SimSun" w:eastAsia="SimSun" w:hAnsi="SimSun" w:cs="Times New Roman"/>
          <w:color w:val="000000" w:themeColor="text1"/>
        </w:rPr>
      </w:pPr>
      <w:r w:rsidRPr="008E32C1">
        <w:rPr>
          <w:rFonts w:ascii="SimSun" w:eastAsia="SimSun" w:hAnsi="SimSun" w:cs="Times New Roman"/>
          <w:color w:val="000000" w:themeColor="text1"/>
        </w:rPr>
        <w:t>仅供眼部使用</w:t>
      </w:r>
      <w:r w:rsidRPr="008E32C1">
        <w:rPr>
          <w:rFonts w:ascii="SimSun" w:eastAsia="SimSun" w:hAnsi="SimSun" w:cs="Times New Roman" w:hint="eastAsia"/>
          <w:color w:val="000000" w:themeColor="text1"/>
        </w:rPr>
        <w:t>，</w:t>
      </w:r>
      <w:r w:rsidR="008E32C1" w:rsidRPr="008E32C1">
        <w:rPr>
          <w:rFonts w:ascii="SimSun" w:eastAsia="SimSun" w:hAnsi="SimSun" w:cs="Times New Roman"/>
          <w:color w:val="000000" w:themeColor="text1"/>
        </w:rPr>
        <w:t>不适用</w:t>
      </w:r>
      <w:r w:rsidRPr="008E32C1">
        <w:rPr>
          <w:rFonts w:ascii="SimSun" w:eastAsia="SimSun" w:hAnsi="SimSun" w:cs="Times New Roman"/>
          <w:color w:val="000000" w:themeColor="text1"/>
        </w:rPr>
        <w:t>注射或口服</w:t>
      </w:r>
    </w:p>
    <w:p w14:paraId="3BFF2F21" w14:textId="3DF43D98" w:rsidR="00A95AE6" w:rsidRPr="008E32C1" w:rsidRDefault="00A95AE6" w:rsidP="008E32C1">
      <w:pPr>
        <w:pStyle w:val="a3"/>
        <w:numPr>
          <w:ilvl w:val="0"/>
          <w:numId w:val="1"/>
        </w:numPr>
        <w:spacing w:line="240" w:lineRule="auto"/>
        <w:rPr>
          <w:rFonts w:ascii="SimSun" w:eastAsia="SimSun" w:hAnsi="SimSun" w:cs="Times New Roman"/>
          <w:color w:val="000000" w:themeColor="text1"/>
        </w:rPr>
      </w:pPr>
      <w:r w:rsidRPr="008E32C1">
        <w:rPr>
          <w:rFonts w:ascii="SimSun" w:eastAsia="SimSun" w:hAnsi="SimSun" w:cs="Times New Roman"/>
          <w:color w:val="000000" w:themeColor="text1"/>
        </w:rPr>
        <w:t>关于阿昔洛韦眼膏用于</w:t>
      </w:r>
      <w:r w:rsidR="008E32C1" w:rsidRPr="008E32C1">
        <w:rPr>
          <w:rFonts w:ascii="SimSun" w:eastAsia="SimSun" w:hAnsi="SimSun" w:cs="Times New Roman" w:hint="eastAsia"/>
          <w:color w:val="000000" w:themeColor="text1"/>
        </w:rPr>
        <w:t>治疗</w:t>
      </w:r>
      <w:r w:rsidRPr="008E32C1">
        <w:rPr>
          <w:rFonts w:ascii="SimSun" w:eastAsia="SimSun" w:hAnsi="SimSun" w:cs="Times New Roman"/>
          <w:color w:val="000000" w:themeColor="text1"/>
        </w:rPr>
        <w:t>深层角膜缺陷以及阿昔洛韦眼膏与局部皮质类固醇联合使用的临床数据不足</w:t>
      </w:r>
    </w:p>
    <w:p w14:paraId="23F73DAB" w14:textId="5DEBC868" w:rsidR="00A95AE6" w:rsidRPr="008E32C1" w:rsidRDefault="00A95AE6" w:rsidP="008E32C1">
      <w:pPr>
        <w:pStyle w:val="a3"/>
        <w:numPr>
          <w:ilvl w:val="0"/>
          <w:numId w:val="1"/>
        </w:numPr>
        <w:spacing w:line="240" w:lineRule="auto"/>
        <w:rPr>
          <w:rFonts w:ascii="SimSun" w:eastAsia="SimSun" w:hAnsi="SimSun" w:cs="Times New Roman"/>
          <w:color w:val="000000" w:themeColor="text1"/>
        </w:rPr>
      </w:pPr>
      <w:r w:rsidRPr="008E32C1">
        <w:rPr>
          <w:rFonts w:ascii="SimSun" w:eastAsia="SimSun" w:hAnsi="SimSun" w:cs="Times New Roman"/>
          <w:color w:val="000000" w:themeColor="text1"/>
        </w:rPr>
        <w:t xml:space="preserve">如果有细菌合并感染，必须进行额外的抗生素治疗 </w:t>
      </w:r>
    </w:p>
    <w:p w14:paraId="72BA5208" w14:textId="397435F8" w:rsidR="00A95AE6" w:rsidRPr="008E32C1" w:rsidRDefault="00A95AE6" w:rsidP="008E32C1">
      <w:pPr>
        <w:pStyle w:val="a3"/>
        <w:numPr>
          <w:ilvl w:val="0"/>
          <w:numId w:val="1"/>
        </w:numPr>
        <w:spacing w:line="240" w:lineRule="auto"/>
        <w:rPr>
          <w:rFonts w:ascii="SimSun" w:eastAsia="SimSun" w:hAnsi="SimSun" w:cs="Times New Roman"/>
          <w:color w:val="000000" w:themeColor="text1"/>
        </w:rPr>
      </w:pPr>
      <w:r w:rsidRPr="008E32C1">
        <w:rPr>
          <w:rFonts w:ascii="SimSun" w:eastAsia="SimSun" w:hAnsi="SimSun" w:cs="Times New Roman"/>
          <w:color w:val="000000" w:themeColor="text1"/>
        </w:rPr>
        <w:t>应告知患者，使用后可能立即出现短暂的轻微刺痛</w:t>
      </w:r>
    </w:p>
    <w:p w14:paraId="5BDC4A20" w14:textId="3A472C0F" w:rsidR="00A95AE6" w:rsidRDefault="00A95AE6" w:rsidP="008E32C1">
      <w:pPr>
        <w:pStyle w:val="a3"/>
        <w:numPr>
          <w:ilvl w:val="0"/>
          <w:numId w:val="1"/>
        </w:numPr>
        <w:spacing w:line="240" w:lineRule="auto"/>
        <w:rPr>
          <w:rFonts w:ascii="SimSun" w:eastAsia="SimSun" w:hAnsi="SimSun" w:cs="Times New Roman"/>
          <w:color w:val="000000" w:themeColor="text1"/>
        </w:rPr>
      </w:pPr>
      <w:r w:rsidRPr="008E32C1">
        <w:rPr>
          <w:rFonts w:ascii="SimSun" w:eastAsia="SimSun" w:hAnsi="SimSun" w:cs="Times New Roman"/>
          <w:color w:val="000000" w:themeColor="text1"/>
        </w:rPr>
        <w:t>使用Xorox</w:t>
      </w:r>
      <w:r w:rsidRPr="008E32C1">
        <w:rPr>
          <w:rFonts w:ascii="SimSun" w:eastAsia="SimSun" w:hAnsi="SimSun" w:cs="Times New Roman" w:hint="eastAsia"/>
          <w:color w:val="000000" w:themeColor="text1"/>
        </w:rPr>
        <w:t>阿昔洛韦</w:t>
      </w:r>
      <w:r w:rsidRPr="008E32C1">
        <w:rPr>
          <w:rFonts w:ascii="SimSun" w:eastAsia="SimSun" w:hAnsi="SimSun" w:cs="Times New Roman"/>
          <w:color w:val="000000" w:themeColor="text1"/>
        </w:rPr>
        <w:t>眼药膏时，患者应避免佩戴隐形眼镜</w:t>
      </w:r>
    </w:p>
    <w:p w14:paraId="0C3814AE" w14:textId="77777777" w:rsidR="008E32C1" w:rsidRPr="008E32C1" w:rsidRDefault="008E32C1" w:rsidP="008E32C1">
      <w:pPr>
        <w:pStyle w:val="a3"/>
        <w:spacing w:line="240" w:lineRule="auto"/>
        <w:rPr>
          <w:rFonts w:ascii="SimSun" w:eastAsia="SimSun" w:hAnsi="SimSun" w:cs="Times New Roman"/>
          <w:color w:val="000000" w:themeColor="text1"/>
        </w:rPr>
      </w:pPr>
    </w:p>
    <w:p w14:paraId="2D14A3A3" w14:textId="2A96B86D"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4.5        与其他药品的相互作用和其他形式的相互作用 </w:t>
      </w:r>
    </w:p>
    <w:p w14:paraId="26192057" w14:textId="2CFA82C6" w:rsidR="008E32C1" w:rsidRPr="00A95AE6" w:rsidRDefault="00A95AE6" w:rsidP="008E32C1">
      <w:pPr>
        <w:spacing w:line="240" w:lineRule="auto"/>
        <w:rPr>
          <w:rFonts w:ascii="SimSun" w:eastAsia="SimSun" w:hAnsi="SimSun" w:cs="Times New Roman"/>
        </w:rPr>
      </w:pPr>
      <w:r w:rsidRPr="00A95AE6">
        <w:rPr>
          <w:rFonts w:ascii="SimSun" w:eastAsia="SimSun" w:hAnsi="SimSun" w:cs="Times New Roman"/>
        </w:rPr>
        <w:t>局部应用时，未发现具有临床意义的相互作用</w:t>
      </w:r>
    </w:p>
    <w:p w14:paraId="3F2A4B32" w14:textId="77777777"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lastRenderedPageBreak/>
        <w:t xml:space="preserve">4.6 </w:t>
      </w:r>
      <w:r w:rsidRPr="00A95AE6">
        <w:rPr>
          <w:rFonts w:ascii="SimSun" w:eastAsia="SimSun" w:hAnsi="SimSun" w:cs="Times New Roman"/>
        </w:rPr>
        <w:tab/>
        <w:t xml:space="preserve"> 生育能力、怀孕和哺乳期 </w:t>
      </w:r>
    </w:p>
    <w:p w14:paraId="5493A52A" w14:textId="77777777" w:rsidR="00A95AE6" w:rsidRPr="00A95AE6" w:rsidRDefault="00A95AE6" w:rsidP="008E32C1">
      <w:pPr>
        <w:spacing w:line="240" w:lineRule="auto"/>
        <w:rPr>
          <w:rFonts w:ascii="SimSun" w:eastAsia="SimSun" w:hAnsi="SimSun" w:cs="Times New Roman"/>
          <w:u w:val="single"/>
        </w:rPr>
      </w:pPr>
      <w:r w:rsidRPr="00A95AE6">
        <w:rPr>
          <w:rFonts w:ascii="SimSun" w:eastAsia="SimSun" w:hAnsi="SimSun" w:cs="Times New Roman"/>
          <w:u w:val="single"/>
        </w:rPr>
        <w:t>生育能力</w:t>
      </w:r>
    </w:p>
    <w:p w14:paraId="3F341A98" w14:textId="5772016E" w:rsidR="00A95AE6" w:rsidRPr="00A95AE6" w:rsidRDefault="00A95AE6" w:rsidP="008E32C1">
      <w:pPr>
        <w:pStyle w:val="a3"/>
        <w:numPr>
          <w:ilvl w:val="0"/>
          <w:numId w:val="2"/>
        </w:numPr>
        <w:spacing w:line="240" w:lineRule="auto"/>
        <w:rPr>
          <w:rFonts w:ascii="SimSun" w:eastAsia="SimSun" w:hAnsi="SimSun" w:cs="Times New Roman"/>
        </w:rPr>
      </w:pPr>
      <w:r w:rsidRPr="00A95AE6">
        <w:rPr>
          <w:rFonts w:ascii="SimSun" w:eastAsia="SimSun" w:hAnsi="SimSun" w:cs="Times New Roman"/>
        </w:rPr>
        <w:t>尚未进行任何研究来调查阿昔洛韦的眼科局部使用对生育能力的影响</w:t>
      </w:r>
    </w:p>
    <w:p w14:paraId="4CED06FE" w14:textId="4BADCBD3" w:rsidR="00A95AE6" w:rsidRPr="00A95AE6" w:rsidRDefault="00A95AE6" w:rsidP="008E32C1">
      <w:pPr>
        <w:pStyle w:val="a3"/>
        <w:numPr>
          <w:ilvl w:val="0"/>
          <w:numId w:val="2"/>
        </w:numPr>
        <w:spacing w:line="240" w:lineRule="auto"/>
        <w:rPr>
          <w:rFonts w:ascii="SimSun" w:eastAsia="SimSun" w:hAnsi="SimSun" w:cs="Times New Roman"/>
        </w:rPr>
      </w:pPr>
      <w:r w:rsidRPr="00A95AE6">
        <w:rPr>
          <w:rFonts w:ascii="SimSun" w:eastAsia="SimSun" w:hAnsi="SimSun" w:cs="Times New Roman"/>
        </w:rPr>
        <w:t>目前没有关于阿昔洛韦对女性生育能力影响的资料</w:t>
      </w:r>
    </w:p>
    <w:p w14:paraId="6BF2FE41" w14:textId="657148F3" w:rsidR="00A95AE6" w:rsidRPr="008E32C1" w:rsidRDefault="00A95AE6" w:rsidP="008E32C1">
      <w:pPr>
        <w:pStyle w:val="a3"/>
        <w:numPr>
          <w:ilvl w:val="0"/>
          <w:numId w:val="2"/>
        </w:numPr>
        <w:spacing w:line="240" w:lineRule="auto"/>
        <w:rPr>
          <w:rFonts w:ascii="SimSun" w:eastAsia="SimSun" w:hAnsi="SimSun" w:cs="Times New Roman"/>
        </w:rPr>
      </w:pPr>
      <w:r w:rsidRPr="00A95AE6">
        <w:rPr>
          <w:rFonts w:ascii="SimSun" w:eastAsia="SimSun" w:hAnsi="SimSun" w:cs="Times New Roman"/>
        </w:rPr>
        <w:t>在一项对20名精子数量正常的男性患者的研究中显示，口服阿昔洛韦的剂量为每天1克，持续时间长达6个月，对精子数量、活力或形态没有临床意义的影响。使用Xorox阿昔洛韦眼膏，预计阿昔洛韦的全身暴露量可以忽略不计，预计没有风险</w:t>
      </w:r>
    </w:p>
    <w:p w14:paraId="6410E23F" w14:textId="77777777" w:rsidR="00A95AE6" w:rsidRPr="00A95AE6" w:rsidRDefault="00A95AE6" w:rsidP="008E32C1">
      <w:pPr>
        <w:spacing w:line="240" w:lineRule="auto"/>
        <w:rPr>
          <w:rFonts w:ascii="SimSun" w:eastAsia="SimSun" w:hAnsi="SimSun" w:cs="Times New Roman"/>
          <w:u w:val="single"/>
        </w:rPr>
      </w:pPr>
      <w:r w:rsidRPr="00A95AE6">
        <w:rPr>
          <w:rFonts w:ascii="SimSun" w:eastAsia="SimSun" w:hAnsi="SimSun" w:cs="Times New Roman"/>
          <w:u w:val="single"/>
        </w:rPr>
        <w:t>怀孕期</w:t>
      </w:r>
    </w:p>
    <w:p w14:paraId="2F7AA5E2" w14:textId="46087050" w:rsidR="00A95AE6" w:rsidRPr="00A95AE6" w:rsidRDefault="00A95AE6" w:rsidP="008E32C1">
      <w:pPr>
        <w:pStyle w:val="a3"/>
        <w:numPr>
          <w:ilvl w:val="0"/>
          <w:numId w:val="3"/>
        </w:numPr>
        <w:spacing w:line="240" w:lineRule="auto"/>
        <w:rPr>
          <w:rFonts w:ascii="SimSun" w:eastAsia="SimSun" w:hAnsi="SimSun" w:cs="Times New Roman"/>
        </w:rPr>
      </w:pPr>
      <w:r w:rsidRPr="00A95AE6">
        <w:rPr>
          <w:rFonts w:ascii="SimSun" w:eastAsia="SimSun" w:hAnsi="SimSun" w:cs="Times New Roman"/>
        </w:rPr>
        <w:t>阿昔洛韦上市后的妊娠登记册记录了接触阿昔洛韦的妇女的妊娠结果。登记结果显示，与普通人群相比，接触阿昔洛韦的受试者出生缺陷的数量没有增加，而且任何出生缺陷都没有显示出独特或一致的模式来表明有共同的原因</w:t>
      </w:r>
    </w:p>
    <w:p w14:paraId="59308E8E" w14:textId="5350B78A" w:rsidR="00A95AE6" w:rsidRPr="00A95AE6" w:rsidRDefault="00A95AE6" w:rsidP="008E32C1">
      <w:pPr>
        <w:pStyle w:val="a3"/>
        <w:numPr>
          <w:ilvl w:val="0"/>
          <w:numId w:val="3"/>
        </w:numPr>
        <w:spacing w:line="240" w:lineRule="auto"/>
        <w:rPr>
          <w:rFonts w:ascii="SimSun" w:eastAsia="SimSun" w:hAnsi="SimSun" w:cs="Times New Roman"/>
        </w:rPr>
      </w:pPr>
      <w:r w:rsidRPr="00A95AE6">
        <w:rPr>
          <w:rFonts w:ascii="SimSun" w:eastAsia="SimSun" w:hAnsi="SimSun" w:cs="Times New Roman"/>
        </w:rPr>
        <w:t>在国际公认的标准测试中，阿昔洛韦的全身给药没有对兔子、大鼠或小鼠产生胚胎毒性或致畸作用</w:t>
      </w:r>
    </w:p>
    <w:p w14:paraId="13E9902D" w14:textId="5A9DFFD3" w:rsidR="00A95AE6" w:rsidRPr="008E32C1" w:rsidRDefault="00A95AE6" w:rsidP="008E32C1">
      <w:pPr>
        <w:pStyle w:val="a3"/>
        <w:numPr>
          <w:ilvl w:val="0"/>
          <w:numId w:val="3"/>
        </w:numPr>
        <w:spacing w:line="240" w:lineRule="auto"/>
        <w:rPr>
          <w:rFonts w:ascii="SimSun" w:eastAsia="SimSun" w:hAnsi="SimSun" w:cs="Times New Roman"/>
        </w:rPr>
      </w:pPr>
      <w:r w:rsidRPr="00A95AE6">
        <w:rPr>
          <w:rFonts w:ascii="SimSun" w:eastAsia="SimSun" w:hAnsi="SimSun" w:cs="Times New Roman"/>
        </w:rPr>
        <w:t>在推荐使用Xorox阿昔洛韦眼膏的情况下，由于阿昔洛韦的全身暴露预计可以忽略不计，因此在怀孕期间不会产生影响。必要时，怀孕期间可使用Xorox阿昔洛韦眼膏</w:t>
      </w:r>
    </w:p>
    <w:p w14:paraId="024CDADB" w14:textId="77777777" w:rsidR="00A95AE6" w:rsidRPr="00A95AE6" w:rsidRDefault="00A95AE6" w:rsidP="008E32C1">
      <w:pPr>
        <w:spacing w:line="240" w:lineRule="auto"/>
        <w:rPr>
          <w:rFonts w:ascii="SimSun" w:eastAsia="SimSun" w:hAnsi="SimSun" w:cs="Times New Roman"/>
          <w:u w:val="single"/>
        </w:rPr>
      </w:pPr>
      <w:r w:rsidRPr="00A95AE6">
        <w:rPr>
          <w:rFonts w:ascii="SimSun" w:eastAsia="SimSun" w:hAnsi="SimSun" w:cs="Times New Roman"/>
          <w:u w:val="single"/>
        </w:rPr>
        <w:t>母乳喂养</w:t>
      </w:r>
    </w:p>
    <w:p w14:paraId="5974A221" w14:textId="224BAA06" w:rsidR="00A95AE6" w:rsidRPr="00A95AE6" w:rsidRDefault="00A95AE6" w:rsidP="008E32C1">
      <w:pPr>
        <w:pStyle w:val="a3"/>
        <w:numPr>
          <w:ilvl w:val="0"/>
          <w:numId w:val="4"/>
        </w:numPr>
        <w:spacing w:line="240" w:lineRule="auto"/>
        <w:rPr>
          <w:rFonts w:ascii="SimSun" w:eastAsia="SimSun" w:hAnsi="SimSun" w:cs="Times New Roman"/>
        </w:rPr>
      </w:pPr>
      <w:r w:rsidRPr="00A95AE6">
        <w:rPr>
          <w:rFonts w:ascii="SimSun" w:eastAsia="SimSun" w:hAnsi="SimSun" w:cs="Times New Roman"/>
        </w:rPr>
        <w:t>有限的数据显示，该药在全身用药后确实会进入乳汁</w:t>
      </w:r>
    </w:p>
    <w:p w14:paraId="4B939773" w14:textId="4BC6755B" w:rsidR="00A95AE6" w:rsidRDefault="00A95AE6" w:rsidP="008E32C1">
      <w:pPr>
        <w:pStyle w:val="a3"/>
        <w:numPr>
          <w:ilvl w:val="0"/>
          <w:numId w:val="4"/>
        </w:numPr>
        <w:spacing w:line="240" w:lineRule="auto"/>
        <w:rPr>
          <w:rFonts w:ascii="SimSun" w:eastAsia="SimSun" w:hAnsi="SimSun" w:cs="Times New Roman"/>
        </w:rPr>
      </w:pPr>
      <w:r w:rsidRPr="00A95AE6">
        <w:rPr>
          <w:rFonts w:ascii="SimSun" w:eastAsia="SimSun" w:hAnsi="SimSun" w:cs="Times New Roman"/>
        </w:rPr>
        <w:t>然而，母亲使用Xorox阿昔洛韦眼膏后，哺乳期的婴儿所接受的剂量将可以忽略不计。哺乳期内可考虑使用Xorox阿昔洛韦眼膏</w:t>
      </w:r>
    </w:p>
    <w:p w14:paraId="0525325F" w14:textId="77777777" w:rsidR="008E32C1" w:rsidRPr="008E32C1" w:rsidRDefault="008E32C1" w:rsidP="008E32C1">
      <w:pPr>
        <w:pStyle w:val="a3"/>
        <w:spacing w:line="240" w:lineRule="auto"/>
        <w:rPr>
          <w:rFonts w:ascii="SimSun" w:eastAsia="SimSun" w:hAnsi="SimSun" w:cs="Times New Roman"/>
        </w:rPr>
      </w:pPr>
    </w:p>
    <w:p w14:paraId="7825E67F" w14:textId="77777777"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4.7      对驾驶和机器操作能力的影响</w:t>
      </w:r>
    </w:p>
    <w:p w14:paraId="4FE4F32F" w14:textId="7F0A0B00" w:rsidR="00A95AE6" w:rsidRDefault="00A95AE6" w:rsidP="008E32C1">
      <w:pPr>
        <w:spacing w:line="240" w:lineRule="auto"/>
        <w:rPr>
          <w:rFonts w:ascii="SimSun" w:eastAsia="SimSun" w:hAnsi="SimSun" w:cs="Times New Roman"/>
        </w:rPr>
      </w:pPr>
      <w:r w:rsidRPr="00A95AE6">
        <w:rPr>
          <w:rFonts w:ascii="SimSun" w:eastAsia="SimSun" w:hAnsi="SimSun" w:cs="Times New Roman"/>
        </w:rPr>
        <w:t>尚未进行对驾驶和机器操作能力影响的研究。Xorox阿昔洛韦眼膏可能短暂影响视力，因此建议驾驶或操作机器时要谨慎。</w:t>
      </w:r>
    </w:p>
    <w:p w14:paraId="3F54EA73" w14:textId="77777777" w:rsidR="008E32C1" w:rsidRPr="00A95AE6" w:rsidRDefault="008E32C1" w:rsidP="008E32C1">
      <w:pPr>
        <w:spacing w:line="240" w:lineRule="auto"/>
        <w:rPr>
          <w:rFonts w:ascii="SimSun" w:eastAsia="SimSun" w:hAnsi="SimSun" w:cs="Times New Roman"/>
        </w:rPr>
      </w:pPr>
    </w:p>
    <w:p w14:paraId="73F2C71C" w14:textId="69663601"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4.8 </w:t>
      </w:r>
      <w:r w:rsidRPr="00A95AE6">
        <w:rPr>
          <w:rFonts w:ascii="SimSun" w:eastAsia="SimSun" w:hAnsi="SimSun" w:cs="Times New Roman"/>
        </w:rPr>
        <w:tab/>
        <w:t xml:space="preserve">不良影响 </w:t>
      </w:r>
    </w:p>
    <w:p w14:paraId="3A6FBEBB" w14:textId="3426CB8A"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使用眼膏后，可能会立即出现暂时性的轻微刺痛或烧灼感，但这应该不会影响到治疗。全身应用阿昔洛韦后的严重副作用是罕见的，大多数症状是可逆的。</w:t>
      </w:r>
    </w:p>
    <w:p w14:paraId="6BF4D91B" w14:textId="77777777"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不良反应按国际医学用语词典(MedDRA)身体系统器官类别和频率列出如下：</w:t>
      </w:r>
    </w:p>
    <w:p w14:paraId="1FEFCB23" w14:textId="77777777" w:rsidR="00A95AE6" w:rsidRPr="00A95AE6" w:rsidRDefault="00A95AE6" w:rsidP="008E32C1">
      <w:pPr>
        <w:spacing w:line="240" w:lineRule="auto"/>
        <w:ind w:left="720"/>
        <w:rPr>
          <w:rFonts w:ascii="SimSun" w:eastAsia="SimSun" w:hAnsi="SimSun" w:cs="Times New Roman"/>
        </w:rPr>
      </w:pPr>
      <w:r w:rsidRPr="00A95AE6">
        <w:rPr>
          <w:rFonts w:ascii="SimSun" w:eastAsia="SimSun" w:hAnsi="SimSun" w:cs="Times New Roman"/>
        </w:rPr>
        <w:t>非常常见：（≥1/10）；</w:t>
      </w:r>
    </w:p>
    <w:p w14:paraId="3005C44C" w14:textId="77777777" w:rsidR="00A95AE6" w:rsidRPr="00A95AE6" w:rsidRDefault="00A95AE6" w:rsidP="008E32C1">
      <w:pPr>
        <w:spacing w:line="240" w:lineRule="auto"/>
        <w:ind w:left="720"/>
        <w:rPr>
          <w:rFonts w:ascii="SimSun" w:eastAsia="SimSun" w:hAnsi="SimSun" w:cs="Times New Roman"/>
        </w:rPr>
      </w:pPr>
      <w:r w:rsidRPr="00A95AE6">
        <w:rPr>
          <w:rFonts w:ascii="SimSun" w:eastAsia="SimSun" w:hAnsi="SimSun" w:cs="Times New Roman"/>
        </w:rPr>
        <w:t>常见：（≥1/100和&lt;1/10）；</w:t>
      </w:r>
    </w:p>
    <w:p w14:paraId="3A3B883B" w14:textId="77777777" w:rsidR="00A95AE6" w:rsidRPr="00A95AE6" w:rsidRDefault="00A95AE6" w:rsidP="008E32C1">
      <w:pPr>
        <w:spacing w:line="240" w:lineRule="auto"/>
        <w:ind w:left="720"/>
        <w:rPr>
          <w:rFonts w:ascii="SimSun" w:eastAsia="SimSun" w:hAnsi="SimSun" w:cs="Times New Roman"/>
        </w:rPr>
      </w:pPr>
      <w:r w:rsidRPr="00A95AE6">
        <w:rPr>
          <w:rFonts w:ascii="SimSun" w:eastAsia="SimSun" w:hAnsi="SimSun" w:cs="Times New Roman"/>
        </w:rPr>
        <w:t>不常见：（≥1/1000和&lt;1/100）；</w:t>
      </w:r>
    </w:p>
    <w:p w14:paraId="4E7B6311" w14:textId="77777777" w:rsidR="00A95AE6" w:rsidRPr="00A95AE6" w:rsidRDefault="00A95AE6" w:rsidP="008E32C1">
      <w:pPr>
        <w:spacing w:line="240" w:lineRule="auto"/>
        <w:ind w:left="720"/>
        <w:rPr>
          <w:rFonts w:ascii="SimSun" w:eastAsia="SimSun" w:hAnsi="SimSun" w:cs="Times New Roman"/>
        </w:rPr>
      </w:pPr>
      <w:r w:rsidRPr="00A95AE6">
        <w:rPr>
          <w:rFonts w:ascii="SimSun" w:eastAsia="SimSun" w:hAnsi="SimSun" w:cs="Times New Roman"/>
        </w:rPr>
        <w:t>罕见：（≥1/10000和&lt;1/1000）；</w:t>
      </w:r>
    </w:p>
    <w:p w14:paraId="2B39E476" w14:textId="4D7EEB97" w:rsidR="00A95AE6" w:rsidRPr="00A95AE6" w:rsidRDefault="00A95AE6" w:rsidP="008E32C1">
      <w:pPr>
        <w:spacing w:line="240" w:lineRule="auto"/>
        <w:ind w:left="720"/>
        <w:rPr>
          <w:rFonts w:ascii="SimSun" w:eastAsia="SimSun" w:hAnsi="SimSun" w:cs="Times New Roman"/>
        </w:rPr>
      </w:pPr>
      <w:r w:rsidRPr="00A95AE6">
        <w:rPr>
          <w:rFonts w:ascii="SimSun" w:eastAsia="SimSun" w:hAnsi="SimSun" w:cs="Times New Roman"/>
        </w:rPr>
        <w:t>非常罕见：（&lt;1/10,000）;</w:t>
      </w:r>
    </w:p>
    <w:p w14:paraId="058ECBE1" w14:textId="22F03FF7" w:rsidR="00A95AE6" w:rsidRPr="00A95AE6" w:rsidRDefault="00A95AE6" w:rsidP="008E32C1">
      <w:pPr>
        <w:spacing w:line="240" w:lineRule="auto"/>
        <w:ind w:left="720"/>
        <w:rPr>
          <w:rFonts w:ascii="SimSun" w:eastAsia="SimSun" w:hAnsi="SimSun" w:cs="Times New Roman"/>
        </w:rPr>
      </w:pPr>
      <w:r w:rsidRPr="00A95AE6">
        <w:rPr>
          <w:rFonts w:ascii="SimSun" w:eastAsia="SimSun" w:hAnsi="SimSun" w:cs="Times New Roman"/>
        </w:rPr>
        <w:t>不知道：根据现有的数据不能估计频率</w:t>
      </w:r>
    </w:p>
    <w:p w14:paraId="699B7CBA" w14:textId="77777777" w:rsidR="008E32C1" w:rsidRDefault="008E32C1" w:rsidP="008E32C1">
      <w:pPr>
        <w:spacing w:line="240" w:lineRule="auto"/>
        <w:rPr>
          <w:rFonts w:ascii="SimSun" w:eastAsia="SimSun" w:hAnsi="SimSun" w:cs="Times New Roman"/>
        </w:rPr>
      </w:pPr>
    </w:p>
    <w:p w14:paraId="1F3A55D9" w14:textId="0D0CE33C" w:rsidR="00A95AE6" w:rsidRDefault="00A95AE6" w:rsidP="008E32C1">
      <w:pPr>
        <w:spacing w:line="240" w:lineRule="auto"/>
        <w:rPr>
          <w:rFonts w:ascii="SimSun" w:eastAsia="SimSun" w:hAnsi="SimSun" w:cs="Times New Roman"/>
        </w:rPr>
      </w:pPr>
      <w:r w:rsidRPr="00A95AE6">
        <w:rPr>
          <w:rFonts w:ascii="SimSun" w:eastAsia="SimSun" w:hAnsi="SimSun" w:cs="Times New Roman"/>
        </w:rPr>
        <w:t>由于副作用的性质，无法明确确定这些反应是由疾病引起还是由给药引起。 上市后自发报告作为副作用频率的依据。</w:t>
      </w:r>
    </w:p>
    <w:p w14:paraId="42762B58" w14:textId="77777777" w:rsidR="008E32C1" w:rsidRPr="00A95AE6" w:rsidRDefault="008E32C1" w:rsidP="008E32C1">
      <w:pPr>
        <w:spacing w:line="240" w:lineRule="auto"/>
        <w:rPr>
          <w:rFonts w:ascii="SimSun" w:eastAsia="SimSun" w:hAnsi="SimSun" w:cs="Times New Roman"/>
        </w:rPr>
      </w:pPr>
    </w:p>
    <w:p w14:paraId="1BFC3B8D" w14:textId="77777777" w:rsidR="00A95AE6" w:rsidRPr="00A95AE6" w:rsidRDefault="00A95AE6" w:rsidP="008E32C1">
      <w:pPr>
        <w:spacing w:line="240" w:lineRule="auto"/>
        <w:rPr>
          <w:rFonts w:ascii="SimSun" w:eastAsia="SimSun" w:hAnsi="SimSun" w:cs="Times New Roman"/>
          <w:u w:val="single"/>
        </w:rPr>
      </w:pPr>
      <w:r w:rsidRPr="00A95AE6">
        <w:rPr>
          <w:rFonts w:ascii="SimSun" w:eastAsia="SimSun" w:hAnsi="SimSun" w:cs="Times New Roman"/>
          <w:u w:val="single"/>
        </w:rPr>
        <w:t>免疫系统紊乱</w:t>
      </w:r>
    </w:p>
    <w:p w14:paraId="36856245" w14:textId="77777777"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非常罕见：即时超敏反应，包括血管性水肿 </w:t>
      </w:r>
    </w:p>
    <w:p w14:paraId="49379ECF" w14:textId="4A69B1CD" w:rsidR="00A95AE6" w:rsidRDefault="00A95AE6" w:rsidP="008E32C1">
      <w:pPr>
        <w:spacing w:line="240" w:lineRule="auto"/>
        <w:rPr>
          <w:rFonts w:ascii="SimSun" w:eastAsia="SimSun" w:hAnsi="SimSun" w:cs="Times New Roman"/>
        </w:rPr>
      </w:pPr>
      <w:r w:rsidRPr="00A95AE6">
        <w:rPr>
          <w:rFonts w:ascii="SimSun" w:eastAsia="SimSun" w:hAnsi="SimSun" w:cs="Times New Roman"/>
        </w:rPr>
        <w:t>(昆克氏水肿，皮肤苍白肿胀，特别是在面部）和荨麻疹。</w:t>
      </w:r>
    </w:p>
    <w:p w14:paraId="53D6CF5A" w14:textId="77777777" w:rsidR="008E32C1" w:rsidRPr="00A95AE6" w:rsidRDefault="008E32C1" w:rsidP="008E32C1">
      <w:pPr>
        <w:spacing w:line="240" w:lineRule="auto"/>
        <w:rPr>
          <w:rFonts w:ascii="SimSun" w:eastAsia="SimSun" w:hAnsi="SimSun" w:cs="Times New Roman"/>
        </w:rPr>
      </w:pPr>
    </w:p>
    <w:p w14:paraId="75D438D2" w14:textId="77777777" w:rsidR="00A95AE6" w:rsidRPr="00A95AE6" w:rsidRDefault="00A95AE6" w:rsidP="008E32C1">
      <w:pPr>
        <w:spacing w:line="240" w:lineRule="auto"/>
        <w:rPr>
          <w:rFonts w:ascii="SimSun" w:eastAsia="SimSun" w:hAnsi="SimSun" w:cs="Times New Roman"/>
          <w:u w:val="single"/>
        </w:rPr>
      </w:pPr>
      <w:r w:rsidRPr="00A95AE6">
        <w:rPr>
          <w:rFonts w:ascii="SimSun" w:eastAsia="SimSun" w:hAnsi="SimSun" w:cs="Times New Roman"/>
          <w:u w:val="single"/>
        </w:rPr>
        <w:t>眼部疾病</w:t>
      </w:r>
    </w:p>
    <w:p w14:paraId="6994D762" w14:textId="77777777"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非常常见：浅表性点状角膜病。这没有必要提前终止治疗，而且痊愈后没有后遗症。</w:t>
      </w:r>
    </w:p>
    <w:p w14:paraId="0E17B7A0" w14:textId="77777777"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不常见：使用后立即发生短暂的轻微刺痛或烧灼感，结膜炎 </w:t>
      </w:r>
    </w:p>
    <w:p w14:paraId="3EEC339E" w14:textId="77777777"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罕见：眼睑炎  </w:t>
      </w:r>
    </w:p>
    <w:p w14:paraId="0684FA9C" w14:textId="77777777" w:rsidR="00A95AE6" w:rsidRPr="00A95AE6" w:rsidRDefault="00A95AE6" w:rsidP="008E32C1">
      <w:pPr>
        <w:spacing w:line="240" w:lineRule="auto"/>
        <w:rPr>
          <w:rFonts w:ascii="SimSun" w:eastAsia="SimSun" w:hAnsi="SimSun" w:cs="Times New Roman"/>
        </w:rPr>
      </w:pPr>
    </w:p>
    <w:p w14:paraId="368EEDB7" w14:textId="77777777" w:rsidR="00A95AE6" w:rsidRPr="008E32C1" w:rsidRDefault="00A95AE6" w:rsidP="008E32C1">
      <w:pPr>
        <w:spacing w:line="240" w:lineRule="auto"/>
        <w:rPr>
          <w:rFonts w:ascii="SimSun" w:eastAsia="SimSun" w:hAnsi="SimSun" w:cs="Times New Roman"/>
          <w:u w:val="single"/>
        </w:rPr>
      </w:pPr>
      <w:r w:rsidRPr="008E32C1">
        <w:rPr>
          <w:rFonts w:ascii="SimSun" w:eastAsia="SimSun" w:hAnsi="SimSun" w:cs="Times New Roman"/>
          <w:u w:val="single"/>
        </w:rPr>
        <w:t>报告可疑的不良反应</w:t>
      </w:r>
    </w:p>
    <w:p w14:paraId="221315AB" w14:textId="72DD8D47" w:rsidR="00A95AE6" w:rsidRDefault="00A95AE6" w:rsidP="008E32C1">
      <w:pPr>
        <w:spacing w:line="240" w:lineRule="auto"/>
        <w:rPr>
          <w:rFonts w:ascii="SimSun" w:eastAsia="SimSun" w:hAnsi="SimSun" w:cs="Times New Roman"/>
        </w:rPr>
      </w:pPr>
      <w:r w:rsidRPr="00A95AE6">
        <w:rPr>
          <w:rFonts w:ascii="SimSun" w:eastAsia="SimSun" w:hAnsi="SimSun" w:cs="Times New Roman"/>
        </w:rPr>
        <w:t>在药品获得批准后，报告可疑的不良反应很重要。它可以持续监测药品的效益/风险平衡。请医护人员通过黄卡计划报告任何可疑的不良反应：www.mhra.gov.uk/yellowcard，或在Google Play或Apple App Store搜索MHRA黄卡。</w:t>
      </w:r>
    </w:p>
    <w:p w14:paraId="3881D7FA" w14:textId="77777777" w:rsidR="008E32C1" w:rsidRPr="00A95AE6" w:rsidRDefault="008E32C1" w:rsidP="008E32C1">
      <w:pPr>
        <w:spacing w:line="240" w:lineRule="auto"/>
        <w:rPr>
          <w:rFonts w:ascii="SimSun" w:eastAsia="SimSun" w:hAnsi="SimSun" w:cs="Times New Roman"/>
        </w:rPr>
      </w:pPr>
    </w:p>
    <w:p w14:paraId="2ECC75FE" w14:textId="34DA9FA9"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4.9 </w:t>
      </w:r>
      <w:r w:rsidRPr="00A95AE6">
        <w:rPr>
          <w:rFonts w:ascii="SimSun" w:eastAsia="SimSun" w:hAnsi="SimSun" w:cs="Times New Roman"/>
        </w:rPr>
        <w:tab/>
        <w:t xml:space="preserve"> 用药过量 </w:t>
      </w:r>
    </w:p>
    <w:p w14:paraId="74D753BB" w14:textId="77777777"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尚未有过量的报告。即使吞下含有135毫克阿昔洛韦的4.5克管状眼膏，也不会产生不良影响。</w:t>
      </w:r>
    </w:p>
    <w:p w14:paraId="32DE01E8" w14:textId="77777777" w:rsidR="00A95AE6" w:rsidRPr="00A95AE6" w:rsidRDefault="00A95AE6" w:rsidP="008E32C1">
      <w:pPr>
        <w:spacing w:line="240" w:lineRule="auto"/>
        <w:rPr>
          <w:rFonts w:ascii="SimSun" w:eastAsia="SimSun" w:hAnsi="SimSun" w:cs="Times New Roman"/>
        </w:rPr>
      </w:pPr>
    </w:p>
    <w:p w14:paraId="22F1C508" w14:textId="17910159"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5           药理特性 </w:t>
      </w:r>
    </w:p>
    <w:p w14:paraId="30208073" w14:textId="29232E42"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5.1         药效学特性 </w:t>
      </w:r>
    </w:p>
    <w:p w14:paraId="30EC090D" w14:textId="7A268FD0"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药物治疗组：眼科、抗感染药、抗病毒药、阿昔洛韦</w:t>
      </w:r>
    </w:p>
    <w:p w14:paraId="0AB72382" w14:textId="34681C12"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ATC-代码</w:t>
      </w:r>
      <w:r w:rsidRPr="00A95AE6">
        <w:rPr>
          <w:rFonts w:ascii="SimSun" w:eastAsia="SimSun" w:hAnsi="SimSun" w:cs="Times New Roman" w:hint="eastAsia"/>
        </w:rPr>
        <w:t>：</w:t>
      </w:r>
      <w:r w:rsidRPr="00A95AE6">
        <w:rPr>
          <w:rFonts w:ascii="SimSun" w:eastAsia="SimSun" w:hAnsi="SimSun" w:cs="Times New Roman"/>
        </w:rPr>
        <w:t xml:space="preserve">S01AD03 </w:t>
      </w:r>
    </w:p>
    <w:p w14:paraId="7A2B3D96" w14:textId="631BA6DC"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作用机制：阿昔洛韦是一种嘌呤核苷类似物，在体外对单纯疱疹病毒1型和2型以及水痘-带状疱疹病毒具有出高活性。 </w:t>
      </w:r>
    </w:p>
    <w:p w14:paraId="67E6915F" w14:textId="77777777"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在疱疹感染的细胞中，阿昔洛韦在第一步中被病毒的胸苷激酶磷酸化为单磷酸。在进一步的步骤中，它在细胞自身的酶的参与下转化为二磷酸盐和三磷酸盐。一方面，三磷酸阿昔洛韦抑制病毒DNA聚合酶，另一方面，它被整合到病毒DNA中，而不是三磷酸脱氧鸟苷，从而导致病毒DNA合成的中断。</w:t>
      </w:r>
    </w:p>
    <w:p w14:paraId="104E8357" w14:textId="68475CF9" w:rsidR="00A95AE6" w:rsidRDefault="00A95AE6" w:rsidP="008E32C1">
      <w:pPr>
        <w:spacing w:line="240" w:lineRule="auto"/>
        <w:rPr>
          <w:rFonts w:ascii="SimSun" w:eastAsia="SimSun" w:hAnsi="SimSun" w:cs="Times New Roman"/>
        </w:rPr>
      </w:pPr>
      <w:r w:rsidRPr="00A95AE6">
        <w:rPr>
          <w:rFonts w:ascii="SimSun" w:eastAsia="SimSun" w:hAnsi="SimSun" w:cs="Times New Roman"/>
        </w:rPr>
        <w:t>由于阿昔洛韦优先被疱疹感染的细胞吸收，并选择性地转化为活性三磷酸形式，因此对不受病毒影响的人类细胞具有低毒性。</w:t>
      </w:r>
    </w:p>
    <w:p w14:paraId="14C69D6B" w14:textId="77777777" w:rsidR="008E32C1" w:rsidRPr="00A95AE6" w:rsidRDefault="008E32C1" w:rsidP="008E32C1">
      <w:pPr>
        <w:spacing w:line="240" w:lineRule="auto"/>
        <w:rPr>
          <w:rFonts w:ascii="SimSun" w:eastAsia="SimSun" w:hAnsi="SimSun" w:cs="Times New Roman"/>
        </w:rPr>
      </w:pPr>
    </w:p>
    <w:p w14:paraId="2F1157AE" w14:textId="2E9047DE"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5.2         药代动力学特性 </w:t>
      </w:r>
    </w:p>
    <w:p w14:paraId="32D251BF" w14:textId="20A36493"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吸收</w:t>
      </w:r>
      <w:r w:rsidRPr="00A95AE6">
        <w:rPr>
          <w:rFonts w:ascii="SimSun" w:eastAsia="SimSun" w:hAnsi="SimSun" w:cs="Times New Roman" w:hint="eastAsia"/>
        </w:rPr>
        <w:t>：</w:t>
      </w:r>
      <w:r w:rsidRPr="00A95AE6">
        <w:rPr>
          <w:rFonts w:ascii="SimSun" w:eastAsia="SimSun" w:hAnsi="SimSun" w:cs="Times New Roman"/>
        </w:rPr>
        <w:t>阿昔洛韦被角膜上皮和浅表眼组织迅速吸收，渗入房水并达到约 7.5 µmol/l 的治疗水平。</w:t>
      </w:r>
    </w:p>
    <w:p w14:paraId="57A255B6" w14:textId="37561805"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lastRenderedPageBreak/>
        <w:t>分布情况</w:t>
      </w:r>
      <w:r w:rsidRPr="00A95AE6">
        <w:rPr>
          <w:rFonts w:ascii="SimSun" w:eastAsia="SimSun" w:hAnsi="SimSun" w:cs="Times New Roman" w:hint="eastAsia"/>
        </w:rPr>
        <w:t>：</w:t>
      </w:r>
      <w:r w:rsidRPr="00A95AE6">
        <w:rPr>
          <w:rFonts w:ascii="SimSun" w:eastAsia="SimSun" w:hAnsi="SimSun" w:cs="Times New Roman"/>
        </w:rPr>
        <w:t>在眼部局部使用阿昔洛韦后，不可能通过现有的方法检测血液中的阿昔洛韦。然而，在尿液中可以测出微量。这些水平在临床上没有意义。</w:t>
      </w:r>
    </w:p>
    <w:p w14:paraId="3F23385B" w14:textId="7CE44FA1"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生物转化</w:t>
      </w:r>
      <w:r w:rsidRPr="00A95AE6">
        <w:rPr>
          <w:rFonts w:ascii="SimSun" w:eastAsia="SimSun" w:hAnsi="SimSun" w:cs="Times New Roman" w:hint="eastAsia"/>
        </w:rPr>
        <w:t>：</w:t>
      </w:r>
      <w:r w:rsidRPr="00A95AE6">
        <w:rPr>
          <w:rFonts w:ascii="SimSun" w:eastAsia="SimSun" w:hAnsi="SimSun" w:cs="Times New Roman"/>
        </w:rPr>
        <w:t xml:space="preserve">阿昔洛韦通过醛脱氢酶代谢为9-羧基甲氧基甲基鸟苷。 </w:t>
      </w:r>
    </w:p>
    <w:p w14:paraId="016083EA" w14:textId="2291C6FF" w:rsidR="00A95AE6" w:rsidRDefault="00A95AE6" w:rsidP="008E32C1">
      <w:pPr>
        <w:spacing w:line="240" w:lineRule="auto"/>
        <w:rPr>
          <w:rFonts w:ascii="SimSun" w:eastAsia="SimSun" w:hAnsi="SimSun" w:cs="Times New Roman"/>
        </w:rPr>
      </w:pPr>
      <w:r w:rsidRPr="00A95AE6">
        <w:rPr>
          <w:rFonts w:ascii="SimSun" w:eastAsia="SimSun" w:hAnsi="SimSun" w:cs="Times New Roman"/>
        </w:rPr>
        <w:t>消除</w:t>
      </w:r>
      <w:r w:rsidRPr="00A95AE6">
        <w:rPr>
          <w:rFonts w:ascii="SimSun" w:eastAsia="SimSun" w:hAnsi="SimSun" w:cs="Times New Roman" w:hint="eastAsia"/>
        </w:rPr>
        <w:t>：</w:t>
      </w:r>
      <w:r w:rsidRPr="00A95AE6">
        <w:rPr>
          <w:rFonts w:ascii="SimSun" w:eastAsia="SimSun" w:hAnsi="SimSun" w:cs="Times New Roman"/>
        </w:rPr>
        <w:t>阿昔洛韦通过肾脏排泄，通过肾小球滤过和肾小管分泌。</w:t>
      </w:r>
    </w:p>
    <w:p w14:paraId="4D8BF628" w14:textId="77777777" w:rsidR="008E32C1" w:rsidRPr="00A95AE6" w:rsidRDefault="008E32C1" w:rsidP="008E32C1">
      <w:pPr>
        <w:spacing w:line="240" w:lineRule="auto"/>
        <w:rPr>
          <w:rFonts w:ascii="SimSun" w:eastAsia="SimSun" w:hAnsi="SimSun" w:cs="Times New Roman"/>
        </w:rPr>
      </w:pPr>
    </w:p>
    <w:p w14:paraId="6EB14740" w14:textId="56F38DC0"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5.3         临床前的安全数据 </w:t>
      </w:r>
    </w:p>
    <w:p w14:paraId="220758A4" w14:textId="77777777"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在体外和体内进行的各种诱变性试验结果表明，阿昔洛韦不会对人类造成遗传风险。</w:t>
      </w:r>
    </w:p>
    <w:p w14:paraId="61126549" w14:textId="6BB43BAE"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在大鼠和小鼠的长期研究中，未发现阿昔洛韦具有致癌性。只有在阿昔洛韦的剂量大大超过治疗使用的剂量时，才报告了对大鼠和狗的精子生成的大体上可逆转的不利影响和总体毒性。在小鼠中进行的两代研究未显示口服阿昔洛韦对生育能力有任何影响。</w:t>
      </w:r>
    </w:p>
    <w:p w14:paraId="19C49C7B" w14:textId="77777777"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在国际公认的标准测试中，阿昔洛韦的全身给药对兔子、大鼠或小鼠没有产生胚胎毒性或致畸作用。</w:t>
      </w:r>
    </w:p>
    <w:p w14:paraId="5D1AF3FE" w14:textId="77777777" w:rsidR="00A95AE6" w:rsidRPr="00A95AE6" w:rsidRDefault="00A95AE6" w:rsidP="008E32C1">
      <w:pPr>
        <w:spacing w:line="240" w:lineRule="auto"/>
        <w:rPr>
          <w:rFonts w:ascii="SimSun" w:eastAsia="SimSun" w:hAnsi="SimSun" w:cs="Times New Roman"/>
        </w:rPr>
      </w:pPr>
    </w:p>
    <w:p w14:paraId="021D82CE" w14:textId="30ED6C47" w:rsidR="008E32C1" w:rsidRP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6           药品细节 </w:t>
      </w:r>
    </w:p>
    <w:p w14:paraId="0823EB62" w14:textId="0D6EEE02" w:rsidR="00A95AE6" w:rsidRDefault="00A95AE6" w:rsidP="008E32C1">
      <w:pPr>
        <w:spacing w:line="240" w:lineRule="auto"/>
        <w:rPr>
          <w:rFonts w:ascii="SimSun" w:eastAsia="SimSun" w:hAnsi="SimSun" w:cs="Times New Roman"/>
        </w:rPr>
      </w:pPr>
      <w:r w:rsidRPr="00A95AE6">
        <w:rPr>
          <w:rFonts w:ascii="SimSun" w:eastAsia="SimSun" w:hAnsi="SimSun" w:cs="Times New Roman"/>
        </w:rPr>
        <w:t>6.1         辅料</w:t>
      </w:r>
      <w:r w:rsidRPr="00A95AE6">
        <w:rPr>
          <w:rFonts w:ascii="SimSun" w:eastAsia="SimSun" w:hAnsi="SimSun" w:cs="Times New Roman" w:hint="eastAsia"/>
        </w:rPr>
        <w:t>：</w:t>
      </w:r>
      <w:r w:rsidRPr="00A95AE6">
        <w:rPr>
          <w:rFonts w:ascii="SimSun" w:eastAsia="SimSun" w:hAnsi="SimSun" w:cs="Times New Roman"/>
        </w:rPr>
        <w:t>白</w:t>
      </w:r>
      <w:r w:rsidR="00931F05">
        <w:rPr>
          <w:rFonts w:ascii="SimSun" w:eastAsia="SimSun" w:hAnsi="SimSun" w:cs="Times New Roman" w:hint="eastAsia"/>
        </w:rPr>
        <w:t>凡士林</w:t>
      </w:r>
      <w:r w:rsidRPr="00A95AE6">
        <w:rPr>
          <w:rFonts w:ascii="SimSun" w:eastAsia="SimSun" w:hAnsi="SimSun" w:cs="Times New Roman"/>
        </w:rPr>
        <w:t xml:space="preserve"> </w:t>
      </w:r>
    </w:p>
    <w:p w14:paraId="5F84C457" w14:textId="77777777" w:rsidR="008E32C1" w:rsidRPr="00A95AE6" w:rsidRDefault="008E32C1" w:rsidP="008E32C1">
      <w:pPr>
        <w:spacing w:line="240" w:lineRule="auto"/>
        <w:rPr>
          <w:rFonts w:ascii="SimSun" w:eastAsia="SimSun" w:hAnsi="SimSun" w:cs="Times New Roman"/>
        </w:rPr>
      </w:pPr>
    </w:p>
    <w:p w14:paraId="2335BB20" w14:textId="036D3858" w:rsid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6.2         不相容性 </w:t>
      </w:r>
      <w:r w:rsidRPr="00A95AE6">
        <w:rPr>
          <w:rFonts w:ascii="SimSun" w:eastAsia="SimSun" w:hAnsi="SimSun" w:cs="Times New Roman" w:hint="eastAsia"/>
        </w:rPr>
        <w:t>：</w:t>
      </w:r>
      <w:r w:rsidRPr="00A95AE6">
        <w:rPr>
          <w:rFonts w:ascii="SimSun" w:eastAsia="SimSun" w:hAnsi="SimSun" w:cs="Times New Roman"/>
        </w:rPr>
        <w:t>没有</w:t>
      </w:r>
    </w:p>
    <w:p w14:paraId="10172951" w14:textId="77777777" w:rsidR="008E32C1" w:rsidRPr="00A95AE6" w:rsidRDefault="008E32C1" w:rsidP="008E32C1">
      <w:pPr>
        <w:spacing w:line="240" w:lineRule="auto"/>
        <w:rPr>
          <w:rFonts w:ascii="SimSun" w:eastAsia="SimSun" w:hAnsi="SimSun" w:cs="Times New Roman"/>
        </w:rPr>
      </w:pPr>
    </w:p>
    <w:p w14:paraId="5EB58AEB" w14:textId="13D73898"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6.3         保质期 </w:t>
      </w:r>
      <w:r w:rsidRPr="00A95AE6">
        <w:rPr>
          <w:rFonts w:ascii="SimSun" w:eastAsia="SimSun" w:hAnsi="SimSun" w:cs="Times New Roman" w:hint="eastAsia"/>
        </w:rPr>
        <w:t>：</w:t>
      </w:r>
      <w:r w:rsidRPr="00A95AE6">
        <w:rPr>
          <w:rFonts w:ascii="SimSun" w:eastAsia="SimSun" w:hAnsi="SimSun" w:cs="Times New Roman"/>
        </w:rPr>
        <w:t>5年</w:t>
      </w:r>
    </w:p>
    <w:p w14:paraId="759F396D" w14:textId="77777777"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化学和物理使用稳定性已被证明在25°C下可保持30天。</w:t>
      </w:r>
    </w:p>
    <w:p w14:paraId="786B058D" w14:textId="77777777"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从微生物学的角度看，一旦打开，该产品在25°C下最多可存放28天。其他使用中的储存时间和条件由使用者负责。</w:t>
      </w:r>
    </w:p>
    <w:p w14:paraId="3CC0F546" w14:textId="77777777" w:rsidR="00A95AE6" w:rsidRPr="00A95AE6" w:rsidRDefault="00A95AE6" w:rsidP="008E32C1">
      <w:pPr>
        <w:spacing w:line="240" w:lineRule="auto"/>
        <w:rPr>
          <w:rFonts w:ascii="SimSun" w:eastAsia="SimSun" w:hAnsi="SimSun" w:cs="Times New Roman"/>
        </w:rPr>
      </w:pPr>
    </w:p>
    <w:p w14:paraId="1AC87154" w14:textId="6398B562" w:rsid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6.4         储存的特别注意事项 </w:t>
      </w:r>
      <w:r w:rsidRPr="00A95AE6">
        <w:rPr>
          <w:rFonts w:ascii="SimSun" w:eastAsia="SimSun" w:hAnsi="SimSun" w:cs="Times New Roman" w:hint="eastAsia"/>
        </w:rPr>
        <w:t>：</w:t>
      </w:r>
      <w:r w:rsidRPr="00A95AE6">
        <w:rPr>
          <w:rFonts w:ascii="SimSun" w:eastAsia="SimSun" w:hAnsi="SimSun" w:cs="Times New Roman"/>
        </w:rPr>
        <w:t>在25°C下储存</w:t>
      </w:r>
    </w:p>
    <w:p w14:paraId="747349D7" w14:textId="77777777" w:rsidR="008E32C1" w:rsidRPr="00A95AE6" w:rsidRDefault="008E32C1" w:rsidP="008E32C1">
      <w:pPr>
        <w:spacing w:line="240" w:lineRule="auto"/>
        <w:rPr>
          <w:rFonts w:ascii="SimSun" w:eastAsia="SimSun" w:hAnsi="SimSun" w:cs="Times New Roman"/>
        </w:rPr>
      </w:pPr>
    </w:p>
    <w:p w14:paraId="2B7C1E95" w14:textId="05E4A3C3" w:rsid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6.5         容器的性质和内容 </w:t>
      </w:r>
      <w:r w:rsidRPr="00A95AE6">
        <w:rPr>
          <w:rFonts w:ascii="SimSun" w:eastAsia="SimSun" w:hAnsi="SimSun" w:cs="Times New Roman" w:hint="eastAsia"/>
        </w:rPr>
        <w:t>：</w:t>
      </w:r>
      <w:r w:rsidRPr="00A95AE6">
        <w:rPr>
          <w:rFonts w:ascii="SimSun" w:eastAsia="SimSun" w:hAnsi="SimSun" w:cs="Times New Roman"/>
        </w:rPr>
        <w:t>白色铝管，内部为环氧酚醛漆，白色高密度聚乙烯套管和盖子，内装4.5g软膏。</w:t>
      </w:r>
    </w:p>
    <w:p w14:paraId="2F6B1D9F" w14:textId="77777777" w:rsidR="008E32C1" w:rsidRPr="00A95AE6" w:rsidRDefault="008E32C1" w:rsidP="008E32C1">
      <w:pPr>
        <w:spacing w:line="240" w:lineRule="auto"/>
        <w:rPr>
          <w:rFonts w:ascii="SimSun" w:eastAsia="SimSun" w:hAnsi="SimSun" w:cs="Times New Roman"/>
        </w:rPr>
      </w:pPr>
    </w:p>
    <w:p w14:paraId="54B1ABC3" w14:textId="01C5F59B"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6.6         处理的特殊预防措施 </w:t>
      </w:r>
      <w:r w:rsidRPr="00A95AE6">
        <w:rPr>
          <w:rFonts w:ascii="SimSun" w:eastAsia="SimSun" w:hAnsi="SimSun" w:cs="Times New Roman" w:hint="eastAsia"/>
        </w:rPr>
        <w:t>：</w:t>
      </w:r>
      <w:r w:rsidRPr="00A95AE6">
        <w:rPr>
          <w:rFonts w:ascii="SimSun" w:eastAsia="SimSun" w:hAnsi="SimSun" w:cs="Times New Roman"/>
        </w:rPr>
        <w:t>任何未使用的药品或废料应按照当地要求进行处理。</w:t>
      </w:r>
    </w:p>
    <w:p w14:paraId="3F173341" w14:textId="77777777" w:rsidR="00A95AE6" w:rsidRPr="00A95AE6" w:rsidRDefault="00A95AE6" w:rsidP="008E32C1">
      <w:pPr>
        <w:spacing w:line="240" w:lineRule="auto"/>
        <w:rPr>
          <w:rFonts w:ascii="SimSun" w:eastAsia="SimSun" w:hAnsi="SimSun" w:cs="Times New Roman"/>
        </w:rPr>
      </w:pPr>
    </w:p>
    <w:p w14:paraId="78160F2A" w14:textId="05438DBC"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7         </w:t>
      </w:r>
      <w:r w:rsidRPr="00A95AE6">
        <w:rPr>
          <w:rFonts w:ascii="SimSun" w:eastAsia="SimSun" w:hAnsi="SimSun" w:cs="Times New Roman" w:hint="eastAsia"/>
        </w:rPr>
        <w:t>注册备案</w:t>
      </w:r>
      <w:r w:rsidRPr="00A95AE6">
        <w:rPr>
          <w:rFonts w:ascii="SimSun" w:eastAsia="SimSun" w:hAnsi="SimSun" w:cs="Times New Roman"/>
        </w:rPr>
        <w:t xml:space="preserve">持有人 </w:t>
      </w:r>
    </w:p>
    <w:p w14:paraId="0150B433" w14:textId="77777777"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AGEPHA 制药有限公司</w:t>
      </w:r>
    </w:p>
    <w:p w14:paraId="101DB869" w14:textId="77777777"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迪亚尼卡路5，塞内茨90301，斯洛伐克共和国</w:t>
      </w:r>
    </w:p>
    <w:p w14:paraId="5F384A3E" w14:textId="77777777" w:rsidR="00A95AE6" w:rsidRPr="00A95AE6" w:rsidRDefault="00A95AE6" w:rsidP="008E32C1">
      <w:pPr>
        <w:spacing w:line="240" w:lineRule="auto"/>
        <w:rPr>
          <w:rFonts w:ascii="SimSun" w:eastAsia="SimSun" w:hAnsi="SimSun" w:cs="Times New Roman"/>
        </w:rPr>
      </w:pPr>
    </w:p>
    <w:p w14:paraId="45DFE213" w14:textId="3FAE55B6"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 xml:space="preserve">8        </w:t>
      </w:r>
      <w:r w:rsidRPr="00A95AE6">
        <w:rPr>
          <w:rFonts w:ascii="SimSun" w:eastAsia="SimSun" w:hAnsi="SimSun" w:cs="Times New Roman" w:hint="eastAsia"/>
        </w:rPr>
        <w:t>注册备案号：</w:t>
      </w:r>
      <w:r w:rsidRPr="00A95AE6">
        <w:rPr>
          <w:rFonts w:ascii="SimSun" w:eastAsia="SimSun" w:hAnsi="SimSun" w:cs="Times New Roman"/>
        </w:rPr>
        <w:t xml:space="preserve">PL 49118/0002 </w:t>
      </w:r>
    </w:p>
    <w:p w14:paraId="38F0BEF5" w14:textId="77777777" w:rsidR="00A95AE6" w:rsidRPr="00A95AE6" w:rsidRDefault="00A95AE6" w:rsidP="008E32C1">
      <w:pPr>
        <w:spacing w:line="240" w:lineRule="auto"/>
        <w:rPr>
          <w:rFonts w:ascii="SimSun" w:eastAsia="SimSun" w:hAnsi="SimSun" w:cs="Times New Roman"/>
        </w:rPr>
      </w:pPr>
    </w:p>
    <w:p w14:paraId="06DA7E7F" w14:textId="6113EDDC"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9         首次</w:t>
      </w:r>
      <w:r w:rsidRPr="00A95AE6">
        <w:rPr>
          <w:rFonts w:ascii="SimSun" w:eastAsia="SimSun" w:hAnsi="SimSun" w:cs="Times New Roman" w:hint="eastAsia"/>
        </w:rPr>
        <w:t>备案</w:t>
      </w:r>
      <w:r w:rsidRPr="00A95AE6">
        <w:rPr>
          <w:rFonts w:ascii="SimSun" w:eastAsia="SimSun" w:hAnsi="SimSun" w:cs="Times New Roman"/>
        </w:rPr>
        <w:t>/</w:t>
      </w:r>
      <w:r w:rsidRPr="00A95AE6">
        <w:rPr>
          <w:rFonts w:ascii="SimSun" w:eastAsia="SimSun" w:hAnsi="SimSun" w:cs="Times New Roman" w:hint="eastAsia"/>
        </w:rPr>
        <w:t>备案续期</w:t>
      </w:r>
      <w:r w:rsidRPr="00A95AE6">
        <w:rPr>
          <w:rFonts w:ascii="SimSun" w:eastAsia="SimSun" w:hAnsi="SimSun" w:cs="Times New Roman"/>
        </w:rPr>
        <w:t xml:space="preserve"> ：2019 年4月1日</w:t>
      </w:r>
    </w:p>
    <w:p w14:paraId="5C960600" w14:textId="77777777" w:rsidR="00A95AE6" w:rsidRPr="00A95AE6" w:rsidRDefault="00A95AE6" w:rsidP="008E32C1">
      <w:pPr>
        <w:spacing w:line="240" w:lineRule="auto"/>
        <w:rPr>
          <w:rFonts w:ascii="SimSun" w:eastAsia="SimSun" w:hAnsi="SimSun" w:cs="Times New Roman"/>
        </w:rPr>
      </w:pPr>
    </w:p>
    <w:p w14:paraId="02711BED" w14:textId="67FFFB3F" w:rsidR="00A95AE6" w:rsidRPr="00A95AE6" w:rsidRDefault="00A95AE6" w:rsidP="008E32C1">
      <w:pPr>
        <w:spacing w:line="240" w:lineRule="auto"/>
        <w:rPr>
          <w:rFonts w:ascii="SimSun" w:eastAsia="SimSun" w:hAnsi="SimSun" w:cs="Times New Roman"/>
        </w:rPr>
      </w:pPr>
      <w:r w:rsidRPr="00A95AE6">
        <w:rPr>
          <w:rFonts w:ascii="SimSun" w:eastAsia="SimSun" w:hAnsi="SimSun" w:cs="Times New Roman"/>
        </w:rPr>
        <w:t>10         说明书修订日期：2021年2月2日</w:t>
      </w:r>
    </w:p>
    <w:p w14:paraId="4848F21E" w14:textId="77777777" w:rsidR="00A95AE6" w:rsidRPr="00A95AE6" w:rsidRDefault="00A95AE6" w:rsidP="008E32C1">
      <w:pPr>
        <w:spacing w:line="240" w:lineRule="auto"/>
        <w:rPr>
          <w:rFonts w:ascii="SimSun" w:eastAsia="SimSun" w:hAnsi="SimSun" w:cs="Times New Roman"/>
        </w:rPr>
      </w:pPr>
    </w:p>
    <w:p w14:paraId="667D1703" w14:textId="77777777" w:rsidR="0075444E" w:rsidRPr="00A95AE6" w:rsidRDefault="0075444E" w:rsidP="008E32C1">
      <w:pPr>
        <w:spacing w:line="240" w:lineRule="auto"/>
        <w:rPr>
          <w:rFonts w:ascii="SimSun" w:eastAsia="SimSun" w:hAnsi="SimSun" w:cs="Times New Roman"/>
        </w:rPr>
      </w:pPr>
    </w:p>
    <w:sectPr w:rsidR="0075444E" w:rsidRPr="00A95AE6" w:rsidSect="005742C7">
      <w:pgSz w:w="11906" w:h="16838"/>
      <w:pgMar w:top="1440"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03C2B"/>
    <w:multiLevelType w:val="hybridMultilevel"/>
    <w:tmpl w:val="FEDC0C6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92AC1"/>
    <w:multiLevelType w:val="hybridMultilevel"/>
    <w:tmpl w:val="E7122D4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D3E99"/>
    <w:multiLevelType w:val="hybridMultilevel"/>
    <w:tmpl w:val="59849B2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54265"/>
    <w:multiLevelType w:val="hybridMultilevel"/>
    <w:tmpl w:val="A6F238E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E6"/>
    <w:rsid w:val="005742C7"/>
    <w:rsid w:val="0075444E"/>
    <w:rsid w:val="008E32C1"/>
    <w:rsid w:val="00931F05"/>
    <w:rsid w:val="00A95AE6"/>
    <w:rsid w:val="00FF16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B316"/>
  <w15:chartTrackingRefBased/>
  <w15:docId w15:val="{5FF1CB4D-D18C-4301-A033-7A9479D7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C94D44C9721284C96EFE56BD7D1C94D" ma:contentTypeVersion="13" ma:contentTypeDescription="新建文档。" ma:contentTypeScope="" ma:versionID="102e48603afeb8c71e9ccb968c9129ee">
  <xsd:schema xmlns:xsd="http://www.w3.org/2001/XMLSchema" xmlns:xs="http://www.w3.org/2001/XMLSchema" xmlns:p="http://schemas.microsoft.com/office/2006/metadata/properties" xmlns:ns2="71ae7a2c-b538-4685-a060-085564418543" xmlns:ns3="9a093435-7697-4b27-b368-31bd52324b56" targetNamespace="http://schemas.microsoft.com/office/2006/metadata/properties" ma:root="true" ma:fieldsID="b6922cb01bddd6fd2c82992e29062d5f" ns2:_="" ns3:_="">
    <xsd:import namespace="71ae7a2c-b538-4685-a060-085564418543"/>
    <xsd:import namespace="9a093435-7697-4b27-b368-31bd52324b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e7a2c-b538-4685-a060-085564418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93435-7697-4b27-b368-31bd52324b56" elementFormDefault="qualified">
    <xsd:import namespace="http://schemas.microsoft.com/office/2006/documentManagement/types"/>
    <xsd:import namespace="http://schemas.microsoft.com/office/infopath/2007/PartnerControls"/>
    <xsd:element name="SharedWithUsers" ma:index="1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A14C4-AE1F-4F9E-B9C7-187A2FCE5C30}"/>
</file>

<file path=customXml/itemProps2.xml><?xml version="1.0" encoding="utf-8"?>
<ds:datastoreItem xmlns:ds="http://schemas.openxmlformats.org/officeDocument/2006/customXml" ds:itemID="{448A5383-EAC7-4A79-9CCB-99FBC6DB1DE7}"/>
</file>

<file path=customXml/itemProps3.xml><?xml version="1.0" encoding="utf-8"?>
<ds:datastoreItem xmlns:ds="http://schemas.openxmlformats.org/officeDocument/2006/customXml" ds:itemID="{54412C26-50A5-4ED6-9F19-C649336C54E1}"/>
</file>

<file path=docProps/app.xml><?xml version="1.0" encoding="utf-8"?>
<Properties xmlns="http://schemas.openxmlformats.org/officeDocument/2006/extended-properties" xmlns:vt="http://schemas.openxmlformats.org/officeDocument/2006/docPropsVTypes">
  <Template>Normal.dotm</Template>
  <TotalTime>21</TotalTime>
  <Pages>5</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Lee</dc:creator>
  <cp:keywords/>
  <dc:description/>
  <cp:lastModifiedBy>Jennifer Lee</cp:lastModifiedBy>
  <cp:revision>2</cp:revision>
  <dcterms:created xsi:type="dcterms:W3CDTF">2021-09-09T09:27:00Z</dcterms:created>
  <dcterms:modified xsi:type="dcterms:W3CDTF">2021-09-09T09:55:00Z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0x0101009C94D44C9721284C96EFE56BD7D1C94D</vt:lpwstr>
  </property>
</Properties>
</file>